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75B9" w14:textId="02576E80" w:rsidR="00C16B42" w:rsidRPr="005549A6" w:rsidRDefault="00C16B42" w:rsidP="00C16B4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49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國立高雄科技大學</w:t>
      </w:r>
      <w:bookmarkStart w:id="0" w:name="_Hlk81906723"/>
      <w:r w:rsidRPr="005549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外語學院新聘專任(案)教師資格審查要點</w:t>
      </w:r>
      <w:bookmarkEnd w:id="0"/>
    </w:p>
    <w:p w14:paraId="14581EFD" w14:textId="77777777" w:rsidR="00C16B42" w:rsidRDefault="00C16B42" w:rsidP="00C16B42">
      <w:pPr>
        <w:snapToGrid w:val="0"/>
        <w:ind w:firstLine="840"/>
        <w:jc w:val="right"/>
        <w:rPr>
          <w:rFonts w:eastAsia="標楷體"/>
          <w:sz w:val="20"/>
        </w:rPr>
      </w:pPr>
      <w:r w:rsidRPr="007D52A8">
        <w:rPr>
          <w:rFonts w:eastAsia="標楷體"/>
          <w:sz w:val="20"/>
        </w:rPr>
        <w:t>110</w:t>
      </w:r>
      <w:r w:rsidRPr="007D52A8"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11</w:t>
      </w:r>
      <w:r w:rsidRPr="007D52A8">
        <w:rPr>
          <w:rFonts w:eastAsia="標楷體" w:hint="eastAsia"/>
          <w:sz w:val="20"/>
        </w:rPr>
        <w:t>月</w:t>
      </w:r>
      <w:r>
        <w:rPr>
          <w:rFonts w:eastAsia="標楷體"/>
          <w:sz w:val="20"/>
        </w:rPr>
        <w:t>29</w:t>
      </w:r>
      <w:r w:rsidRPr="007D52A8">
        <w:rPr>
          <w:rFonts w:eastAsia="標楷體" w:hint="eastAsia"/>
          <w:sz w:val="20"/>
        </w:rPr>
        <w:t>日</w:t>
      </w:r>
      <w:r w:rsidRPr="007D52A8">
        <w:rPr>
          <w:rFonts w:eastAsia="標楷體"/>
          <w:sz w:val="20"/>
        </w:rPr>
        <w:t>1</w:t>
      </w:r>
      <w:r>
        <w:rPr>
          <w:rFonts w:eastAsia="標楷體"/>
          <w:sz w:val="20"/>
        </w:rPr>
        <w:t>10</w:t>
      </w:r>
      <w:r w:rsidRPr="007D52A8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一</w:t>
      </w:r>
      <w:r w:rsidRPr="007D52A8"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3</w:t>
      </w:r>
      <w:r w:rsidRPr="007D52A8">
        <w:rPr>
          <w:rFonts w:eastAsia="標楷體" w:hint="eastAsia"/>
          <w:sz w:val="20"/>
        </w:rPr>
        <w:t>次</w:t>
      </w:r>
      <w:r>
        <w:rPr>
          <w:rFonts w:eastAsia="標楷體" w:hint="eastAsia"/>
          <w:sz w:val="20"/>
        </w:rPr>
        <w:t>臨時院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 w:rsidRPr="007D52A8">
        <w:rPr>
          <w:rFonts w:eastAsia="標楷體" w:hint="eastAsia"/>
          <w:sz w:val="20"/>
        </w:rPr>
        <w:t>會審議通過</w:t>
      </w:r>
    </w:p>
    <w:p w14:paraId="13A98F27" w14:textId="77777777" w:rsidR="00C16B42" w:rsidRDefault="00C16B42" w:rsidP="00C16B42">
      <w:pPr>
        <w:snapToGrid w:val="0"/>
        <w:ind w:firstLine="840"/>
        <w:jc w:val="right"/>
        <w:rPr>
          <w:rFonts w:eastAsia="標楷體"/>
          <w:sz w:val="20"/>
        </w:rPr>
      </w:pPr>
      <w:r w:rsidRPr="007D52A8">
        <w:rPr>
          <w:rFonts w:eastAsia="標楷體"/>
          <w:sz w:val="20"/>
        </w:rPr>
        <w:t>110</w:t>
      </w:r>
      <w:r w:rsidRPr="007D52A8"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12</w:t>
      </w:r>
      <w:r w:rsidRPr="007D52A8">
        <w:rPr>
          <w:rFonts w:eastAsia="標楷體" w:hint="eastAsia"/>
          <w:sz w:val="20"/>
        </w:rPr>
        <w:t>月</w:t>
      </w:r>
      <w:r>
        <w:rPr>
          <w:rFonts w:eastAsia="標楷體"/>
          <w:sz w:val="20"/>
        </w:rPr>
        <w:t>30</w:t>
      </w:r>
      <w:r w:rsidRPr="007D52A8">
        <w:rPr>
          <w:rFonts w:eastAsia="標楷體" w:hint="eastAsia"/>
          <w:sz w:val="20"/>
        </w:rPr>
        <w:t>日</w:t>
      </w:r>
      <w:r w:rsidRPr="007D52A8">
        <w:rPr>
          <w:rFonts w:eastAsia="標楷體"/>
          <w:sz w:val="20"/>
        </w:rPr>
        <w:t>1</w:t>
      </w:r>
      <w:r>
        <w:rPr>
          <w:rFonts w:eastAsia="標楷體"/>
          <w:sz w:val="20"/>
        </w:rPr>
        <w:t>10</w:t>
      </w:r>
      <w:r w:rsidRPr="007D52A8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一</w:t>
      </w:r>
      <w:r w:rsidRPr="007D52A8"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3</w:t>
      </w:r>
      <w:r w:rsidRPr="007D52A8">
        <w:rPr>
          <w:rFonts w:eastAsia="標楷體" w:hint="eastAsia"/>
          <w:sz w:val="20"/>
        </w:rPr>
        <w:t>次</w:t>
      </w:r>
      <w:r>
        <w:rPr>
          <w:rFonts w:eastAsia="標楷體" w:hint="eastAsia"/>
          <w:sz w:val="20"/>
        </w:rPr>
        <w:t>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 w:rsidRPr="007D52A8">
        <w:rPr>
          <w:rFonts w:eastAsia="標楷體" w:hint="eastAsia"/>
          <w:sz w:val="20"/>
        </w:rPr>
        <w:t>會</w:t>
      </w:r>
      <w:r>
        <w:rPr>
          <w:rFonts w:eastAsia="標楷體" w:hint="eastAsia"/>
          <w:sz w:val="20"/>
        </w:rPr>
        <w:t>議修正</w:t>
      </w:r>
      <w:r w:rsidRPr="007D52A8">
        <w:rPr>
          <w:rFonts w:eastAsia="標楷體" w:hint="eastAsia"/>
          <w:sz w:val="20"/>
        </w:rPr>
        <w:t>通過</w:t>
      </w:r>
    </w:p>
    <w:p w14:paraId="6AE58A55" w14:textId="77777777" w:rsidR="00BC6A53" w:rsidRPr="003A2B0D" w:rsidRDefault="00BC6A53" w:rsidP="00C16B42">
      <w:pPr>
        <w:snapToGrid w:val="0"/>
        <w:ind w:firstLine="840"/>
        <w:jc w:val="right"/>
        <w:rPr>
          <w:rFonts w:eastAsia="標楷體"/>
          <w:sz w:val="20"/>
        </w:rPr>
      </w:pPr>
      <w:r w:rsidRPr="003A2B0D">
        <w:rPr>
          <w:rFonts w:eastAsia="標楷體"/>
          <w:sz w:val="20"/>
        </w:rPr>
        <w:t>111</w:t>
      </w:r>
      <w:r w:rsidRPr="003A2B0D">
        <w:rPr>
          <w:rFonts w:eastAsia="標楷體" w:hint="eastAsia"/>
          <w:sz w:val="20"/>
        </w:rPr>
        <w:t>年</w:t>
      </w:r>
      <w:r w:rsidRPr="003A2B0D">
        <w:rPr>
          <w:rFonts w:eastAsia="標楷體"/>
          <w:sz w:val="20"/>
        </w:rPr>
        <w:t>0</w:t>
      </w:r>
      <w:r w:rsidRPr="003A2B0D">
        <w:rPr>
          <w:rFonts w:eastAsia="標楷體" w:hint="eastAsia"/>
          <w:sz w:val="20"/>
        </w:rPr>
        <w:t>5</w:t>
      </w:r>
      <w:r w:rsidRPr="003A2B0D">
        <w:rPr>
          <w:rFonts w:eastAsia="標楷體" w:hint="eastAsia"/>
          <w:sz w:val="20"/>
        </w:rPr>
        <w:t>月</w:t>
      </w:r>
      <w:r w:rsidRPr="003A2B0D">
        <w:rPr>
          <w:rFonts w:eastAsia="標楷體"/>
          <w:sz w:val="20"/>
        </w:rPr>
        <w:t>1</w:t>
      </w:r>
      <w:r w:rsidRPr="003A2B0D">
        <w:rPr>
          <w:rFonts w:eastAsia="標楷體" w:hint="eastAsia"/>
          <w:sz w:val="20"/>
        </w:rPr>
        <w:t>9</w:t>
      </w:r>
      <w:r w:rsidRPr="003A2B0D">
        <w:rPr>
          <w:rFonts w:eastAsia="標楷體" w:hint="eastAsia"/>
          <w:sz w:val="20"/>
        </w:rPr>
        <w:t>日</w:t>
      </w:r>
      <w:r w:rsidRPr="003A2B0D">
        <w:rPr>
          <w:rFonts w:eastAsia="標楷體"/>
          <w:sz w:val="20"/>
        </w:rPr>
        <w:t>110</w:t>
      </w:r>
      <w:r w:rsidRPr="003A2B0D">
        <w:rPr>
          <w:rFonts w:eastAsia="標楷體" w:hint="eastAsia"/>
          <w:sz w:val="20"/>
        </w:rPr>
        <w:t>學年度第二學期第</w:t>
      </w:r>
      <w:r w:rsidRPr="003A2B0D">
        <w:rPr>
          <w:rFonts w:eastAsia="標楷體" w:hint="eastAsia"/>
          <w:sz w:val="20"/>
        </w:rPr>
        <w:t>2</w:t>
      </w:r>
      <w:r w:rsidRPr="003A2B0D">
        <w:rPr>
          <w:rFonts w:eastAsia="標楷體" w:hint="eastAsia"/>
          <w:sz w:val="20"/>
        </w:rPr>
        <w:t>次院</w:t>
      </w:r>
      <w:proofErr w:type="gramStart"/>
      <w:r w:rsidRPr="003A2B0D">
        <w:rPr>
          <w:rFonts w:eastAsia="標楷體" w:hint="eastAsia"/>
          <w:sz w:val="20"/>
        </w:rPr>
        <w:t>務</w:t>
      </w:r>
      <w:proofErr w:type="gramEnd"/>
      <w:r w:rsidRPr="003A2B0D">
        <w:rPr>
          <w:rFonts w:eastAsia="標楷體" w:hint="eastAsia"/>
          <w:sz w:val="20"/>
        </w:rPr>
        <w:t>會議修正通過</w:t>
      </w:r>
    </w:p>
    <w:p w14:paraId="02F8BD71" w14:textId="39974A80" w:rsidR="00E2619A" w:rsidRPr="003A2B0D" w:rsidRDefault="00E2619A" w:rsidP="00C16B42">
      <w:pPr>
        <w:snapToGrid w:val="0"/>
        <w:ind w:firstLine="840"/>
        <w:jc w:val="right"/>
        <w:rPr>
          <w:rFonts w:eastAsia="標楷體"/>
          <w:sz w:val="20"/>
        </w:rPr>
      </w:pPr>
      <w:r w:rsidRPr="003A2B0D">
        <w:rPr>
          <w:rFonts w:eastAsia="標楷體"/>
          <w:sz w:val="20"/>
        </w:rPr>
        <w:t>111</w:t>
      </w:r>
      <w:r w:rsidRPr="003A2B0D">
        <w:rPr>
          <w:rFonts w:eastAsia="標楷體" w:hint="eastAsia"/>
          <w:sz w:val="20"/>
        </w:rPr>
        <w:t>年</w:t>
      </w:r>
      <w:r w:rsidRPr="003A2B0D">
        <w:rPr>
          <w:rFonts w:eastAsia="標楷體"/>
          <w:sz w:val="20"/>
        </w:rPr>
        <w:t>0</w:t>
      </w:r>
      <w:r w:rsidR="00473E4C" w:rsidRPr="003A2B0D">
        <w:rPr>
          <w:rFonts w:eastAsia="標楷體"/>
          <w:sz w:val="20"/>
        </w:rPr>
        <w:t>6</w:t>
      </w:r>
      <w:r w:rsidRPr="003A2B0D">
        <w:rPr>
          <w:rFonts w:eastAsia="標楷體" w:hint="eastAsia"/>
          <w:sz w:val="20"/>
        </w:rPr>
        <w:t>月</w:t>
      </w:r>
      <w:r w:rsidRPr="003A2B0D">
        <w:rPr>
          <w:rFonts w:eastAsia="標楷體"/>
          <w:sz w:val="20"/>
        </w:rPr>
        <w:t>1</w:t>
      </w:r>
      <w:r w:rsidR="00473E4C" w:rsidRPr="003A2B0D">
        <w:rPr>
          <w:rFonts w:eastAsia="標楷體"/>
          <w:sz w:val="20"/>
        </w:rPr>
        <w:t>7</w:t>
      </w:r>
      <w:r w:rsidRPr="003A2B0D">
        <w:rPr>
          <w:rFonts w:eastAsia="標楷體" w:hint="eastAsia"/>
          <w:sz w:val="20"/>
        </w:rPr>
        <w:t>日</w:t>
      </w:r>
      <w:r w:rsidRPr="003A2B0D">
        <w:rPr>
          <w:rFonts w:eastAsia="標楷體"/>
          <w:sz w:val="20"/>
        </w:rPr>
        <w:t>110</w:t>
      </w:r>
      <w:r w:rsidRPr="003A2B0D">
        <w:rPr>
          <w:rFonts w:eastAsia="標楷體" w:hint="eastAsia"/>
          <w:sz w:val="20"/>
        </w:rPr>
        <w:t>學年度第二學期第</w:t>
      </w:r>
      <w:r w:rsidR="00473E4C" w:rsidRPr="003A2B0D">
        <w:rPr>
          <w:rFonts w:eastAsia="標楷體"/>
          <w:sz w:val="20"/>
        </w:rPr>
        <w:t>1</w:t>
      </w:r>
      <w:r w:rsidRPr="003A2B0D">
        <w:rPr>
          <w:rFonts w:eastAsia="標楷體" w:hint="eastAsia"/>
          <w:sz w:val="20"/>
        </w:rPr>
        <w:t>次</w:t>
      </w:r>
      <w:r w:rsidR="00473E4C" w:rsidRPr="003A2B0D">
        <w:rPr>
          <w:rFonts w:eastAsia="標楷體" w:hint="eastAsia"/>
          <w:sz w:val="20"/>
        </w:rPr>
        <w:t>臨時</w:t>
      </w:r>
      <w:r w:rsidRPr="003A2B0D">
        <w:rPr>
          <w:rFonts w:eastAsia="標楷體" w:hint="eastAsia"/>
          <w:sz w:val="20"/>
        </w:rPr>
        <w:t>院</w:t>
      </w:r>
      <w:proofErr w:type="gramStart"/>
      <w:r w:rsidRPr="003A2B0D">
        <w:rPr>
          <w:rFonts w:eastAsia="標楷體" w:hint="eastAsia"/>
          <w:sz w:val="20"/>
        </w:rPr>
        <w:t>務</w:t>
      </w:r>
      <w:proofErr w:type="gramEnd"/>
      <w:r w:rsidRPr="003A2B0D">
        <w:rPr>
          <w:rFonts w:eastAsia="標楷體" w:hint="eastAsia"/>
          <w:sz w:val="20"/>
        </w:rPr>
        <w:t>會議修正通過</w:t>
      </w:r>
    </w:p>
    <w:p w14:paraId="542FF61B" w14:textId="77777777" w:rsidR="003A2B0D" w:rsidRDefault="003A2B0D" w:rsidP="003A2B0D">
      <w:pPr>
        <w:snapToGrid w:val="0"/>
        <w:ind w:firstLine="840"/>
        <w:jc w:val="right"/>
        <w:rPr>
          <w:rFonts w:eastAsia="標楷體"/>
          <w:color w:val="FF0000"/>
          <w:sz w:val="20"/>
        </w:rPr>
      </w:pPr>
      <w:r w:rsidRPr="00626374">
        <w:rPr>
          <w:rFonts w:eastAsia="標楷體"/>
          <w:color w:val="FF0000"/>
          <w:sz w:val="20"/>
        </w:rPr>
        <w:t>11</w:t>
      </w:r>
      <w:r>
        <w:rPr>
          <w:rFonts w:eastAsia="標楷體"/>
          <w:color w:val="FF0000"/>
          <w:sz w:val="20"/>
        </w:rPr>
        <w:t>3</w:t>
      </w:r>
      <w:r w:rsidRPr="00626374">
        <w:rPr>
          <w:rFonts w:eastAsia="標楷體" w:hint="eastAsia"/>
          <w:color w:val="FF0000"/>
          <w:sz w:val="20"/>
        </w:rPr>
        <w:t>年</w:t>
      </w:r>
      <w:r>
        <w:rPr>
          <w:rFonts w:eastAsia="標楷體"/>
          <w:color w:val="FF0000"/>
          <w:sz w:val="20"/>
        </w:rPr>
        <w:t>03</w:t>
      </w:r>
      <w:r w:rsidRPr="00626374">
        <w:rPr>
          <w:rFonts w:eastAsia="標楷體" w:hint="eastAsia"/>
          <w:color w:val="FF0000"/>
          <w:sz w:val="20"/>
        </w:rPr>
        <w:t>月</w:t>
      </w:r>
      <w:r>
        <w:rPr>
          <w:rFonts w:eastAsia="標楷體"/>
          <w:color w:val="FF0000"/>
          <w:sz w:val="20"/>
        </w:rPr>
        <w:t>11</w:t>
      </w:r>
      <w:r w:rsidRPr="00626374">
        <w:rPr>
          <w:rFonts w:eastAsia="標楷體" w:hint="eastAsia"/>
          <w:color w:val="FF0000"/>
          <w:sz w:val="20"/>
        </w:rPr>
        <w:t>日</w:t>
      </w:r>
      <w:r w:rsidRPr="00626374">
        <w:rPr>
          <w:rFonts w:eastAsia="標楷體"/>
          <w:color w:val="FF0000"/>
          <w:sz w:val="20"/>
        </w:rPr>
        <w:t>11</w:t>
      </w:r>
      <w:r>
        <w:rPr>
          <w:rFonts w:eastAsia="標楷體"/>
          <w:color w:val="FF0000"/>
          <w:sz w:val="20"/>
        </w:rPr>
        <w:t>2</w:t>
      </w:r>
      <w:r w:rsidRPr="00626374">
        <w:rPr>
          <w:rFonts w:eastAsia="標楷體" w:hint="eastAsia"/>
          <w:color w:val="FF0000"/>
          <w:sz w:val="20"/>
        </w:rPr>
        <w:t>學年度第</w:t>
      </w:r>
      <w:r>
        <w:rPr>
          <w:rFonts w:eastAsia="標楷體" w:hint="eastAsia"/>
          <w:color w:val="FF0000"/>
          <w:sz w:val="20"/>
        </w:rPr>
        <w:t>二</w:t>
      </w:r>
      <w:r w:rsidRPr="00626374">
        <w:rPr>
          <w:rFonts w:eastAsia="標楷體" w:hint="eastAsia"/>
          <w:color w:val="FF0000"/>
          <w:sz w:val="20"/>
        </w:rPr>
        <w:t>學期第</w:t>
      </w:r>
      <w:r>
        <w:rPr>
          <w:rFonts w:eastAsia="標楷體"/>
          <w:color w:val="FF0000"/>
          <w:sz w:val="20"/>
        </w:rPr>
        <w:t>1</w:t>
      </w:r>
      <w:r w:rsidRPr="00626374">
        <w:rPr>
          <w:rFonts w:eastAsia="標楷體" w:hint="eastAsia"/>
          <w:color w:val="FF0000"/>
          <w:sz w:val="20"/>
        </w:rPr>
        <w:t>次院</w:t>
      </w:r>
      <w:proofErr w:type="gramStart"/>
      <w:r w:rsidRPr="00626374">
        <w:rPr>
          <w:rFonts w:eastAsia="標楷體" w:hint="eastAsia"/>
          <w:color w:val="FF0000"/>
          <w:sz w:val="20"/>
        </w:rPr>
        <w:t>務</w:t>
      </w:r>
      <w:proofErr w:type="gramEnd"/>
      <w:r w:rsidRPr="00626374">
        <w:rPr>
          <w:rFonts w:eastAsia="標楷體" w:hint="eastAsia"/>
          <w:color w:val="FF0000"/>
          <w:sz w:val="20"/>
        </w:rPr>
        <w:t>會議修正通過</w:t>
      </w:r>
    </w:p>
    <w:p w14:paraId="1B885485" w14:textId="5DEB356F" w:rsidR="00C16B42" w:rsidRPr="005549A6" w:rsidRDefault="00C16B42" w:rsidP="00C16B42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Lines="50" w:before="190"/>
        <w:ind w:left="567" w:hanging="567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國立高雄科技大學</w:t>
      </w:r>
      <w:r w:rsidRPr="005549A6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(以下簡稱</w:t>
      </w:r>
      <w:r w:rsidR="00831A6D" w:rsidRPr="005549A6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本校</w:t>
      </w:r>
      <w:r w:rsidRPr="005549A6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)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外語學院(以下簡稱本</w:t>
      </w:r>
      <w:r w:rsidR="00831A6D" w:rsidRPr="004F4BE3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學</w:t>
      </w:r>
      <w:r w:rsidRPr="004F4BE3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院)，為聘任優秀新進專任</w:t>
      </w:r>
      <w:r w:rsidRPr="004F4BE3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(案)</w:t>
      </w:r>
      <w:r w:rsidRPr="004F4BE3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教師，</w:t>
      </w:r>
      <w:r w:rsidRPr="004F4BE3">
        <w:rPr>
          <w:rFonts w:ascii="標楷體" w:eastAsia="標楷體" w:hAnsi="標楷體" w:hint="eastAsia"/>
          <w:color w:val="000000" w:themeColor="text1"/>
          <w:sz w:val="28"/>
          <w:szCs w:val="28"/>
        </w:rPr>
        <w:t>強化本學院教學及研究人力兼顧師資來源多元化，</w:t>
      </w:r>
      <w:r w:rsidRPr="004F4BE3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依據</w:t>
      </w:r>
      <w:r w:rsidRPr="004F4BE3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本校專任教師聘任辦法第三條之規定</w:t>
      </w:r>
      <w:r w:rsidRPr="004F4BE3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，訂定</w:t>
      </w:r>
      <w:r w:rsidR="00831A6D" w:rsidRPr="004F4BE3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本</w:t>
      </w:r>
      <w:r w:rsidR="00831A6D" w:rsidRPr="004F4BE3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學</w:t>
      </w:r>
      <w:r w:rsidR="00831A6D" w:rsidRPr="004F4BE3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院</w:t>
      </w:r>
      <w:r w:rsidRPr="004F4BE3">
        <w:rPr>
          <w:rFonts w:ascii="標楷體" w:eastAsia="標楷體" w:hAnsi="標楷體" w:hint="eastAsia"/>
          <w:color w:val="000000" w:themeColor="text1"/>
          <w:sz w:val="28"/>
          <w:szCs w:val="28"/>
        </w:rPr>
        <w:t>新聘</w:t>
      </w:r>
      <w:r w:rsidRPr="005549A6">
        <w:rPr>
          <w:rFonts w:ascii="標楷體" w:eastAsia="標楷體" w:hAnsi="標楷體" w:hint="eastAsia"/>
          <w:color w:val="000000" w:themeColor="text1"/>
          <w:sz w:val="28"/>
          <w:szCs w:val="28"/>
        </w:rPr>
        <w:t>專任(案)教師資格審查要點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(以下簡稱本要點)，供本</w:t>
      </w:r>
      <w:r w:rsidRPr="005549A6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學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院各系所據以聘任新進專任</w:t>
      </w:r>
      <w:r w:rsidRPr="005549A6">
        <w:rPr>
          <w:rFonts w:ascii="標楷體" w:eastAsia="標楷體" w:hAnsi="標楷體" w:hint="eastAsia"/>
          <w:color w:val="000000" w:themeColor="text1"/>
          <w:sz w:val="28"/>
          <w:szCs w:val="28"/>
        </w:rPr>
        <w:t>(案)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教師。</w:t>
      </w:r>
    </w:p>
    <w:p w14:paraId="581F3C32" w14:textId="77777777" w:rsidR="00C16B42" w:rsidRPr="005549A6" w:rsidRDefault="00C16B42" w:rsidP="00C16B42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Lines="50" w:before="190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本</w:t>
      </w:r>
      <w:r w:rsidRPr="005549A6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學院新聘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專任</w:t>
      </w:r>
      <w:r w:rsidRPr="005549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(案)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教師，除</w:t>
      </w:r>
      <w:r w:rsidRPr="005549A6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須符合教育部及本校相關法規外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，依本</w:t>
      </w:r>
      <w:r w:rsidRPr="005549A6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要點</w:t>
      </w:r>
      <w:r w:rsidRPr="005549A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辦理。</w:t>
      </w:r>
    </w:p>
    <w:p w14:paraId="41553EC1" w14:textId="77777777" w:rsidR="00C16B42" w:rsidRPr="00B21117" w:rsidRDefault="00C16B42" w:rsidP="00C16B42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Lines="50" w:before="190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49A6">
        <w:rPr>
          <w:rFonts w:ascii="標楷體" w:eastAsia="標楷體" w:hAnsi="標楷體" w:hint="eastAsia"/>
          <w:color w:val="000000" w:themeColor="text1"/>
          <w:sz w:val="28"/>
          <w:szCs w:val="28"/>
        </w:rPr>
        <w:t>本學院新聘專任</w:t>
      </w:r>
      <w:r w:rsidRPr="005549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(案)</w:t>
      </w:r>
      <w:r w:rsidRPr="005549A6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B21117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，</w:t>
      </w:r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五年內發表或己被接受之學術著作及專業成果，最低點數要求如下：</w:t>
      </w:r>
      <w:r w:rsidRPr="00B2111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E553DDD" w14:textId="77777777" w:rsidR="00C16B42" w:rsidRPr="00B21117" w:rsidRDefault="00C16B42" w:rsidP="00C16B42">
      <w:pPr>
        <w:snapToGrid w:val="0"/>
        <w:ind w:leftChars="-2" w:left="-4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)新聘專任教授</w:t>
      </w:r>
      <w:r w:rsidRPr="00B21117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點。</w:t>
      </w:r>
    </w:p>
    <w:p w14:paraId="273339A1" w14:textId="77777777" w:rsidR="00C16B42" w:rsidRPr="00B21117" w:rsidRDefault="00C16B42" w:rsidP="00C16B42">
      <w:pPr>
        <w:snapToGrid w:val="0"/>
        <w:ind w:leftChars="-2" w:left="-4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(二)新聘專任副教授</w:t>
      </w:r>
      <w:r w:rsidRPr="00B21117">
        <w:rPr>
          <w:rFonts w:ascii="標楷體" w:eastAsia="標楷體" w:hAnsi="標楷體"/>
          <w:color w:val="000000" w:themeColor="text1"/>
          <w:sz w:val="28"/>
          <w:szCs w:val="28"/>
        </w:rPr>
        <w:t>16</w:t>
      </w:r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點。</w:t>
      </w:r>
    </w:p>
    <w:p w14:paraId="73369028" w14:textId="77777777" w:rsidR="00C16B42" w:rsidRPr="00B21117" w:rsidRDefault="00C16B42" w:rsidP="00C16B42">
      <w:pPr>
        <w:snapToGrid w:val="0"/>
        <w:ind w:leftChars="-2" w:left="-4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1117">
        <w:rPr>
          <w:rFonts w:ascii="標楷體" w:eastAsia="標楷體" w:hAnsi="標楷體" w:hint="eastAsia"/>
          <w:color w:val="000000" w:themeColor="text1"/>
          <w:sz w:val="28"/>
          <w:szCs w:val="28"/>
        </w:rPr>
        <w:t>(三)新聘專任助理教授8點。</w:t>
      </w:r>
    </w:p>
    <w:p w14:paraId="0F4530FE" w14:textId="21D8B666" w:rsidR="00C16B42" w:rsidRPr="000B18A2" w:rsidRDefault="00C16B42" w:rsidP="000B18A2">
      <w:pPr>
        <w:snapToGrid w:val="0"/>
        <w:spacing w:beforeLines="50" w:before="190"/>
        <w:ind w:leftChars="-2" w:left="-4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2B0D">
        <w:rPr>
          <w:rFonts w:ascii="標楷體" w:eastAsia="標楷體" w:hAnsi="標楷體" w:hint="eastAsia"/>
          <w:sz w:val="28"/>
          <w:szCs w:val="28"/>
        </w:rPr>
        <w:t>前項所稱</w:t>
      </w:r>
      <w:r w:rsidR="00FE5AA8"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五年起算時間，以刊登徵聘公告日（徵聘公告截止收件日）之前一個</w:t>
      </w:r>
    </w:p>
    <w:p w14:paraId="6577B3A1" w14:textId="236DC0C3" w:rsidR="00C16B42" w:rsidRPr="000B18A2" w:rsidRDefault="00C16B42" w:rsidP="000B18A2">
      <w:pPr>
        <w:snapToGrid w:val="0"/>
        <w:ind w:leftChars="236" w:left="425" w:firstLine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月最後一日為起算基準，往前推算五年；如於所定期間內</w:t>
      </w:r>
      <w:r w:rsidR="00FE5AA8"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懷孕、生產或養育</w:t>
      </w:r>
      <w:proofErr w:type="gramStart"/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足歲以下子女等</w:t>
      </w:r>
      <w:r w:rsidR="00FE5AA8"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情事</w:t>
      </w: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者，得</w:t>
      </w:r>
      <w:r w:rsidR="00FE5AA8"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延長二年，但應檢具相關證明文件。</w:t>
      </w:r>
    </w:p>
    <w:p w14:paraId="3C3318B5" w14:textId="7B92CB27" w:rsidR="00C16B42" w:rsidRPr="000B18A2" w:rsidRDefault="00C16B42" w:rsidP="00C16B42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Lines="50" w:before="19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前點關於點數之計算方式，</w:t>
      </w:r>
      <w:r w:rsidR="00FE5AA8"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應依</w:t>
      </w: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以下列方式</w:t>
      </w:r>
      <w:r w:rsidR="00FE5AA8"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0B18A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F479CD7" w14:textId="77777777" w:rsidR="00C16B42" w:rsidRPr="00AD0964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237" w:left="708" w:hangingChars="105" w:hanging="281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AD0964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</w:t>
      </w:r>
      <w:proofErr w:type="gramStart"/>
      <w:r w:rsidRPr="00AD0964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一</w:t>
      </w:r>
      <w:proofErr w:type="gramEnd"/>
      <w:r w:rsidRPr="00AD0964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)學術著作：</w:t>
      </w:r>
    </w:p>
    <w:p w14:paraId="4958A9B7" w14:textId="4488BFB9" w:rsidR="00C16B42" w:rsidRPr="00CA25C4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550" w:left="1274" w:hangingChars="106" w:hanging="284"/>
        <w:rPr>
          <w:rFonts w:ascii="標楷體" w:eastAsia="標楷體" w:cs="標楷體"/>
          <w:spacing w:val="-6"/>
          <w:kern w:val="0"/>
          <w:sz w:val="28"/>
          <w:szCs w:val="28"/>
        </w:rPr>
      </w:pPr>
      <w:r w:rsidRPr="00AD0964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1.</w:t>
      </w:r>
      <w:r w:rsidRPr="00AD0964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ab/>
        <w:t>SSCI、A&amp;HCI、國際出版之外文學術專書、經科技部審查補助之中文或外文學術專書，每篇</w:t>
      </w:r>
      <w:r w:rsidRPr="00CA25C4">
        <w:rPr>
          <w:rFonts w:ascii="標楷體" w:eastAsia="標楷體" w:cs="標楷體"/>
          <w:spacing w:val="-6"/>
          <w:kern w:val="0"/>
          <w:sz w:val="28"/>
          <w:szCs w:val="28"/>
        </w:rPr>
        <w:t>5</w:t>
      </w:r>
      <w:r w:rsidRPr="00CA25C4">
        <w:rPr>
          <w:rFonts w:ascii="標楷體" w:eastAsia="標楷體" w:cs="標楷體" w:hint="eastAsia"/>
          <w:spacing w:val="-6"/>
          <w:kern w:val="0"/>
          <w:sz w:val="28"/>
          <w:szCs w:val="28"/>
        </w:rPr>
        <w:t>點。</w:t>
      </w:r>
    </w:p>
    <w:p w14:paraId="6973A180" w14:textId="4D2FEF9A" w:rsidR="00C16B42" w:rsidRPr="00A63BAA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550" w:left="1274" w:hangingChars="106" w:hanging="284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CA25C4">
        <w:rPr>
          <w:rFonts w:ascii="標楷體" w:eastAsia="標楷體" w:cs="標楷體" w:hint="eastAsia"/>
          <w:spacing w:val="-6"/>
          <w:kern w:val="0"/>
          <w:sz w:val="28"/>
          <w:szCs w:val="28"/>
        </w:rPr>
        <w:t>2.</w:t>
      </w:r>
      <w:r w:rsidRPr="00CA25C4">
        <w:rPr>
          <w:rFonts w:ascii="標楷體" w:eastAsia="標楷體" w:cs="標楷體" w:hint="eastAsia"/>
          <w:spacing w:val="-6"/>
          <w:kern w:val="0"/>
          <w:sz w:val="28"/>
          <w:szCs w:val="28"/>
        </w:rPr>
        <w:tab/>
        <w:t>ERIH-PLUS、THCI、TSSCI、SCOPUS及發表於日本國境內學會發行之期刊論文、發表於德語區內學會發行之期刊論文、台灣日語教育學會、台灣日本語文學會、台灣日語應用學會、中華民國德語</w:t>
      </w:r>
      <w:proofErr w:type="gramStart"/>
      <w:r w:rsidRPr="00CA25C4">
        <w:rPr>
          <w:rFonts w:ascii="標楷體" w:eastAsia="標楷體" w:cs="標楷體" w:hint="eastAsia"/>
          <w:spacing w:val="-6"/>
          <w:kern w:val="0"/>
          <w:sz w:val="28"/>
          <w:szCs w:val="28"/>
        </w:rPr>
        <w:t>文學者暨教師</w:t>
      </w:r>
      <w:proofErr w:type="gramEnd"/>
      <w:r w:rsidRPr="00CA25C4">
        <w:rPr>
          <w:rFonts w:ascii="標楷體" w:eastAsia="標楷體" w:cs="標楷體" w:hint="eastAsia"/>
          <w:spacing w:val="-6"/>
          <w:kern w:val="0"/>
          <w:sz w:val="28"/>
          <w:szCs w:val="28"/>
        </w:rPr>
        <w:t>協會及台灣翻譯學會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發行之期刊，每篇</w:t>
      </w:r>
      <w:r w:rsidRPr="00A63BAA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4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點。</w:t>
      </w:r>
    </w:p>
    <w:p w14:paraId="1407AB68" w14:textId="61107774" w:rsidR="00C16B42" w:rsidRPr="00A63BAA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550" w:left="1274" w:hangingChars="106" w:hanging="284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3</w:t>
      </w:r>
      <w:r w:rsidRPr="00A63BAA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.ESCI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期刊論文，每篇</w:t>
      </w:r>
      <w:r w:rsidR="008B4DD2" w:rsidRPr="00A63BAA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3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點。</w:t>
      </w:r>
    </w:p>
    <w:p w14:paraId="05476A95" w14:textId="1C7005B3" w:rsidR="00C16B42" w:rsidRPr="00A63BAA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550" w:left="1274" w:hangingChars="106" w:hanging="284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A63BAA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4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.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ab/>
        <w:t>國際/國內發行且具外審制度之學術期刊，每篇2點。</w:t>
      </w:r>
    </w:p>
    <w:p w14:paraId="1FD099A4" w14:textId="1DF2A8C3" w:rsidR="00C16B42" w:rsidRPr="00EA48E9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550" w:left="1274" w:hangingChars="106" w:hanging="284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A63BAA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5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.</w:t>
      </w:r>
      <w:r w:rsidRPr="00A63BAA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ab/>
      </w:r>
      <w:r w:rsidR="00542E2D" w:rsidRPr="00542E2D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經正式國內</w:t>
      </w:r>
      <w:r w:rsidR="00542E2D" w:rsidRPr="003A2B0D">
        <w:rPr>
          <w:rFonts w:ascii="標楷體" w:eastAsia="標楷體" w:cs="標楷體" w:hint="eastAsia"/>
          <w:spacing w:val="-6"/>
          <w:kern w:val="0"/>
          <w:sz w:val="28"/>
          <w:szCs w:val="28"/>
        </w:rPr>
        <w:t>出版發行，通過出版社審查編輯並公開發行，不得與博士論文雷同之學術專書著作，每本2點，總點數最高為4點；教科書或工具書，每本2點，總點數最高為4點。</w:t>
      </w:r>
    </w:p>
    <w:p w14:paraId="20A2F54F" w14:textId="0141142A" w:rsidR="00C16B42" w:rsidRPr="00EA48E9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550" w:left="1274" w:hangingChars="106" w:hanging="284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EA48E9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6</w:t>
      </w:r>
      <w:r w:rsidRPr="00EA48E9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.</w:t>
      </w:r>
      <w:r w:rsidRPr="00EA48E9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ab/>
        <w:t>專章論文，每篇2點。</w:t>
      </w:r>
    </w:p>
    <w:p w14:paraId="26A98B2D" w14:textId="38AF4223" w:rsidR="00C16B42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237" w:left="708" w:hangingChars="105" w:hanging="281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(二)國際/國內學術研討會論文：每篇1點，總點數最高為</w:t>
      </w:r>
      <w:r w:rsidRPr="009C0503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4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點。</w:t>
      </w:r>
    </w:p>
    <w:p w14:paraId="514D0F05" w14:textId="3688F901" w:rsidR="00C16B42" w:rsidRPr="009C0503" w:rsidRDefault="00C16B42" w:rsidP="00EB386A">
      <w:pPr>
        <w:kinsoku w:val="0"/>
        <w:overflowPunct w:val="0"/>
        <w:autoSpaceDE w:val="0"/>
        <w:autoSpaceDN w:val="0"/>
        <w:adjustRightInd w:val="0"/>
        <w:snapToGrid w:val="0"/>
        <w:spacing w:beforeLines="50" w:before="190" w:afterLines="50" w:after="190"/>
        <w:ind w:leftChars="237" w:left="992" w:hangingChars="211" w:hanging="565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(三)擔任科技部研究計畫、教育部教學實踐計畫、</w:t>
      </w:r>
      <w:proofErr w:type="gramStart"/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磨課師</w:t>
      </w:r>
      <w:proofErr w:type="gramEnd"/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課程計畫或</w:t>
      </w:r>
      <w:proofErr w:type="gramStart"/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其他部級教學</w:t>
      </w:r>
      <w:proofErr w:type="gramEnd"/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或研究相關計畫主持人，每項計畫</w:t>
      </w:r>
      <w:r w:rsidRPr="009C0503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2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點，總點數最高為</w:t>
      </w:r>
      <w:r w:rsidRPr="009C0503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4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點。</w:t>
      </w:r>
    </w:p>
    <w:p w14:paraId="14460C35" w14:textId="13B6DC28" w:rsidR="00C16B42" w:rsidRPr="009C0503" w:rsidRDefault="00C16B42" w:rsidP="00EB386A">
      <w:pPr>
        <w:kinsoku w:val="0"/>
        <w:overflowPunct w:val="0"/>
        <w:autoSpaceDE w:val="0"/>
        <w:autoSpaceDN w:val="0"/>
        <w:adjustRightInd w:val="0"/>
        <w:snapToGrid w:val="0"/>
        <w:spacing w:beforeLines="50" w:before="190"/>
        <w:ind w:leftChars="237" w:left="992" w:hangingChars="211" w:hanging="565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(四)具口譯或翻譯實務經驗，每場口譯或每件翻譯作品依難度</w:t>
      </w:r>
      <w:r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1</w:t>
      </w:r>
      <w:r w:rsidR="00A970DE"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至</w:t>
      </w:r>
      <w:r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2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點，總點數最高為</w:t>
      </w:r>
      <w:r w:rsidRPr="009C0503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4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點。</w:t>
      </w:r>
    </w:p>
    <w:p w14:paraId="5E4F1B7A" w14:textId="1605B3DE" w:rsidR="00C16B42" w:rsidRPr="009C0503" w:rsidRDefault="00C16B42" w:rsidP="00EB386A">
      <w:pPr>
        <w:snapToGrid w:val="0"/>
        <w:spacing w:beforeLines="50" w:before="190"/>
        <w:ind w:leftChars="237" w:left="992" w:hangingChars="211" w:hanging="565"/>
        <w:jc w:val="both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(五)以計畫主持人身</w:t>
      </w:r>
      <w:r w:rsidR="00A970DE"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分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執行之產學計畫，經費</w:t>
      </w:r>
      <w:r w:rsidR="00FE5AA8"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新台幣五</w:t>
      </w:r>
      <w:r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萬元</w:t>
      </w:r>
      <w:r w:rsidR="00FE5AA8"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為</w:t>
      </w:r>
      <w:r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1點，總點數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最高為</w:t>
      </w:r>
      <w:r w:rsidRPr="009C0503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4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lastRenderedPageBreak/>
        <w:t>點。</w:t>
      </w:r>
    </w:p>
    <w:p w14:paraId="1BDE0970" w14:textId="089CBD57" w:rsidR="00C16B42" w:rsidRPr="009C0503" w:rsidRDefault="00C16B42" w:rsidP="00EB386A">
      <w:pPr>
        <w:kinsoku w:val="0"/>
        <w:overflowPunct w:val="0"/>
        <w:autoSpaceDE w:val="0"/>
        <w:autoSpaceDN w:val="0"/>
        <w:adjustRightInd w:val="0"/>
        <w:spacing w:afterLines="50" w:after="190"/>
        <w:ind w:leftChars="235" w:left="423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(六)指導大學生申請科技部專題計畫獲得通過</w:t>
      </w:r>
      <w:r w:rsidR="00FE5AA8"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每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件1點，總點數最高為</w:t>
      </w:r>
      <w:r w:rsidRPr="009C0503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2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點。</w:t>
      </w:r>
    </w:p>
    <w:p w14:paraId="301CD9AB" w14:textId="5AD599A2" w:rsidR="00C16B42" w:rsidRPr="009C0503" w:rsidRDefault="00C16B42" w:rsidP="00FE5AA8">
      <w:pPr>
        <w:kinsoku w:val="0"/>
        <w:overflowPunct w:val="0"/>
        <w:autoSpaceDE w:val="0"/>
        <w:autoSpaceDN w:val="0"/>
        <w:adjustRightInd w:val="0"/>
        <w:spacing w:afterLines="50" w:after="190"/>
        <w:ind w:leftChars="235" w:left="423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(七)指導大學生參加校際語文相關競賽獲獎</w:t>
      </w:r>
      <w:r w:rsidR="00FE5AA8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每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件0.5點，總點數最高為</w:t>
      </w:r>
      <w:r w:rsidRPr="009C0503"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  <w:t>2</w:t>
      </w: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點。</w:t>
      </w:r>
    </w:p>
    <w:p w14:paraId="5DD72FA3" w14:textId="3CE37BA9" w:rsidR="00C16B42" w:rsidRPr="000B18A2" w:rsidRDefault="00C16B42" w:rsidP="00C16B42">
      <w:pPr>
        <w:kinsoku w:val="0"/>
        <w:overflowPunct w:val="0"/>
        <w:autoSpaceDE w:val="0"/>
        <w:autoSpaceDN w:val="0"/>
        <w:adjustRightInd w:val="0"/>
        <w:spacing w:before="16"/>
        <w:ind w:leftChars="237" w:left="992" w:hangingChars="211" w:hanging="565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9C050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(八)發明專利，每案1點、新型或新式樣(設計)專利每案0.5點</w:t>
      </w:r>
      <w:r w:rsidR="00FE5AA8"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，總點數最高為6點</w:t>
      </w:r>
      <w:r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。</w:t>
      </w:r>
    </w:p>
    <w:p w14:paraId="53546D24" w14:textId="50B34BA1" w:rsidR="003A2B0D" w:rsidRPr="003A2B0D" w:rsidRDefault="003A2B0D" w:rsidP="003A2B0D">
      <w:pPr>
        <w:kinsoku w:val="0"/>
        <w:overflowPunct w:val="0"/>
        <w:autoSpaceDE w:val="0"/>
        <w:autoSpaceDN w:val="0"/>
        <w:adjustRightInd w:val="0"/>
        <w:spacing w:before="16"/>
        <w:ind w:leftChars="158" w:left="284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5104F4">
        <w:rPr>
          <w:rFonts w:ascii="標楷體" w:eastAsia="標楷體" w:cs="標楷體" w:hint="eastAsia"/>
          <w:color w:val="FF0000"/>
          <w:spacing w:val="-6"/>
          <w:kern w:val="0"/>
          <w:sz w:val="28"/>
          <w:szCs w:val="28"/>
        </w:rPr>
        <w:t>前項之點數計算，自112年8月1日以後投稿之MDPI、Frontiers Media SA及</w:t>
      </w:r>
      <w:proofErr w:type="spellStart"/>
      <w:r w:rsidRPr="005104F4">
        <w:rPr>
          <w:rFonts w:ascii="標楷體" w:eastAsia="標楷體" w:cs="標楷體" w:hint="eastAsia"/>
          <w:color w:val="FF0000"/>
          <w:spacing w:val="-6"/>
          <w:kern w:val="0"/>
          <w:sz w:val="28"/>
          <w:szCs w:val="28"/>
        </w:rPr>
        <w:t>Hindawi</w:t>
      </w:r>
      <w:proofErr w:type="spellEnd"/>
      <w:r w:rsidRPr="005104F4">
        <w:rPr>
          <w:rFonts w:ascii="標楷體" w:eastAsia="標楷體" w:cs="標楷體" w:hint="eastAsia"/>
          <w:color w:val="FF0000"/>
          <w:spacing w:val="-6"/>
          <w:kern w:val="0"/>
          <w:sz w:val="28"/>
          <w:szCs w:val="28"/>
        </w:rPr>
        <w:t xml:space="preserve"> Publishing Corporation等出版社之期刊論文，不予</w:t>
      </w:r>
      <w:proofErr w:type="gramStart"/>
      <w:r w:rsidRPr="005104F4">
        <w:rPr>
          <w:rFonts w:ascii="標楷體" w:eastAsia="標楷體" w:cs="標楷體" w:hint="eastAsia"/>
          <w:color w:val="FF0000"/>
          <w:spacing w:val="-6"/>
          <w:kern w:val="0"/>
          <w:sz w:val="28"/>
          <w:szCs w:val="28"/>
        </w:rPr>
        <w:t>採</w:t>
      </w:r>
      <w:proofErr w:type="gramEnd"/>
      <w:r w:rsidRPr="005104F4">
        <w:rPr>
          <w:rFonts w:ascii="標楷體" w:eastAsia="標楷體" w:cs="標楷體" w:hint="eastAsia"/>
          <w:color w:val="FF0000"/>
          <w:spacing w:val="-6"/>
          <w:kern w:val="0"/>
          <w:sz w:val="28"/>
          <w:szCs w:val="28"/>
        </w:rPr>
        <w:t>計。</w:t>
      </w:r>
    </w:p>
    <w:p w14:paraId="0886FF43" w14:textId="77777777" w:rsidR="00FE5AA8" w:rsidRPr="000B18A2" w:rsidRDefault="00431EC8" w:rsidP="00C16B42">
      <w:pPr>
        <w:widowControl/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Lines="50" w:before="19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5AA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本學院各系所新聘專任(案</w:t>
      </w:r>
      <w:r w:rsidRPr="00FE5AA8">
        <w:rPr>
          <w:rFonts w:ascii="標楷體" w:eastAsia="標楷體" w:cs="標楷體"/>
          <w:color w:val="000000" w:themeColor="text1"/>
          <w:kern w:val="0"/>
          <w:sz w:val="28"/>
          <w:szCs w:val="28"/>
        </w:rPr>
        <w:t>)</w:t>
      </w:r>
      <w:r w:rsidRPr="00FE5AA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教師專業研究能力未達最低點數要求，但具特殊且卓著之</w:t>
      </w:r>
      <w:r w:rsidRPr="00FE5AA8">
        <w:rPr>
          <w:rFonts w:ascii="標楷體" w:eastAsia="標楷體" w:cs="標楷體" w:hint="eastAsia"/>
          <w:kern w:val="0"/>
          <w:sz w:val="28"/>
          <w:szCs w:val="28"/>
        </w:rPr>
        <w:t>學術或專業表現、或具深厚發展潛力之</w:t>
      </w:r>
      <w:r w:rsidRPr="000B18A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優秀</w:t>
      </w:r>
      <w:r w:rsidR="00FE5AA8" w:rsidRPr="000B18A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擬聘人選者，得經系所教評會議決議通過，提送本校教師徵聘審議小組審查通過後，並提請院教評會</w:t>
      </w:r>
      <w:proofErr w:type="gramStart"/>
      <w:r w:rsidR="00FE5AA8" w:rsidRPr="000B18A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複</w:t>
      </w:r>
      <w:proofErr w:type="gramEnd"/>
      <w:r w:rsidR="00FE5AA8" w:rsidRPr="000B18A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審，其著作點數要求不受第三點之限制。</w:t>
      </w:r>
    </w:p>
    <w:p w14:paraId="21BE43BA" w14:textId="4F94FB28" w:rsidR="00C16B42" w:rsidRPr="004F4BE3" w:rsidRDefault="00C16B42" w:rsidP="00C16B42">
      <w:pPr>
        <w:widowControl/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Lines="50" w:before="19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5AA8">
        <w:rPr>
          <w:rFonts w:ascii="標楷體" w:eastAsia="標楷體" w:hAnsi="標楷體" w:hint="eastAsia"/>
          <w:color w:val="000000" w:themeColor="text1"/>
          <w:sz w:val="28"/>
          <w:szCs w:val="28"/>
        </w:rPr>
        <w:t>為利本</w:t>
      </w:r>
      <w:r w:rsidR="00831A6D" w:rsidRPr="004F4BE3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學</w:t>
      </w:r>
      <w:r w:rsidRPr="004F4BE3">
        <w:rPr>
          <w:rFonts w:ascii="標楷體" w:eastAsia="標楷體" w:hAnsi="標楷體" w:hint="eastAsia"/>
          <w:color w:val="000000" w:themeColor="text1"/>
          <w:sz w:val="28"/>
          <w:szCs w:val="28"/>
        </w:rPr>
        <w:t>院各系所師資來源多元化，應依下列原則辦理聘任：</w:t>
      </w:r>
    </w:p>
    <w:p w14:paraId="0DBCAFFD" w14:textId="77777777" w:rsidR="00FE5AA8" w:rsidRPr="004F4BE3" w:rsidRDefault="00C16B42" w:rsidP="00C16B42">
      <w:pPr>
        <w:kinsoku w:val="0"/>
        <w:overflowPunct w:val="0"/>
        <w:autoSpaceDE w:val="0"/>
        <w:autoSpaceDN w:val="0"/>
        <w:adjustRightInd w:val="0"/>
        <w:snapToGrid w:val="0"/>
        <w:ind w:leftChars="237" w:left="992" w:hangingChars="211" w:hanging="565"/>
        <w:rPr>
          <w:rFonts w:ascii="標楷體" w:eastAsia="標楷體" w:cs="標楷體"/>
          <w:color w:val="000000" w:themeColor="text1"/>
          <w:spacing w:val="-6"/>
          <w:kern w:val="0"/>
          <w:sz w:val="28"/>
          <w:szCs w:val="28"/>
        </w:rPr>
      </w:pPr>
      <w:r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</w:t>
      </w:r>
      <w:proofErr w:type="gramStart"/>
      <w:r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一</w:t>
      </w:r>
      <w:proofErr w:type="gramEnd"/>
      <w:r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)相同來源總人數以該系所教師總人數百分之二十五為原則。</w:t>
      </w:r>
      <w:r w:rsidR="00FE5AA8"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但因應用德語系其專業領域屬性特殊者，應另檢附具體證明文件，比例以百分之四十為限。</w:t>
      </w:r>
    </w:p>
    <w:p w14:paraId="7501174A" w14:textId="4ED3EBDB" w:rsidR="00C16B42" w:rsidRPr="00B21117" w:rsidRDefault="00C16B42" w:rsidP="00C16B42">
      <w:pPr>
        <w:kinsoku w:val="0"/>
        <w:overflowPunct w:val="0"/>
        <w:autoSpaceDE w:val="0"/>
        <w:autoSpaceDN w:val="0"/>
        <w:adjustRightInd w:val="0"/>
        <w:snapToGrid w:val="0"/>
        <w:ind w:leftChars="237" w:left="992" w:hangingChars="211" w:hanging="56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(二)前</w:t>
      </w:r>
      <w:r w:rsidR="00A970DE"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款</w:t>
      </w:r>
      <w:r w:rsidR="00FE5AA8" w:rsidRPr="004F4BE3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所稱</w:t>
      </w:r>
      <w:r w:rsidRPr="000B18A2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相</w:t>
      </w:r>
      <w:r w:rsidRPr="00B21117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同來源，指應聘者最高學歷（博士）與應徵該系所現有教師最高學歷出自同一學校且同一</w:t>
      </w:r>
      <w:proofErr w:type="gramStart"/>
      <w:r w:rsidRPr="00B21117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系所者</w:t>
      </w:r>
      <w:proofErr w:type="gramEnd"/>
      <w:r w:rsidRPr="00B21117">
        <w:rPr>
          <w:rFonts w:ascii="標楷體" w:eastAsia="標楷體" w:cs="標楷體" w:hint="eastAsia"/>
          <w:color w:val="000000" w:themeColor="text1"/>
          <w:spacing w:val="-6"/>
          <w:kern w:val="0"/>
          <w:sz w:val="28"/>
          <w:szCs w:val="28"/>
        </w:rPr>
        <w:t>。</w:t>
      </w:r>
    </w:p>
    <w:p w14:paraId="45E777DB" w14:textId="31EB56EF" w:rsidR="00997EEC" w:rsidRPr="00C16B42" w:rsidRDefault="00C16B42" w:rsidP="002C6712">
      <w:pPr>
        <w:widowControl/>
        <w:numPr>
          <w:ilvl w:val="0"/>
          <w:numId w:val="1"/>
        </w:numPr>
        <w:tabs>
          <w:tab w:val="clear" w:pos="720"/>
          <w:tab w:val="num" w:pos="567"/>
        </w:tabs>
        <w:snapToGrid w:val="0"/>
        <w:spacing w:beforeLines="50" w:before="190"/>
        <w:ind w:left="567" w:hanging="567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C16B42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本要點經院教評會議及院</w:t>
      </w:r>
      <w:proofErr w:type="gramStart"/>
      <w:r w:rsidRPr="00C16B42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務</w:t>
      </w:r>
      <w:proofErr w:type="gramEnd"/>
      <w:r w:rsidRPr="00C16B42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會議通過，並陳請校長核定後施行</w:t>
      </w:r>
      <w:r w:rsidR="00A970DE" w:rsidRPr="008B4DD2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；</w:t>
      </w:r>
      <w:r w:rsidRPr="00C16B42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修正時亦同。</w:t>
      </w:r>
    </w:p>
    <w:sectPr w:rsidR="00997EEC" w:rsidRPr="00C16B42" w:rsidSect="00C16B42">
      <w:pgSz w:w="11906" w:h="16838" w:code="9"/>
      <w:pgMar w:top="709" w:right="851" w:bottom="0" w:left="851" w:header="284" w:footer="284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25C6" w14:textId="77777777" w:rsidR="002672EC" w:rsidRDefault="002672EC" w:rsidP="00DE1285">
      <w:r>
        <w:separator/>
      </w:r>
    </w:p>
  </w:endnote>
  <w:endnote w:type="continuationSeparator" w:id="0">
    <w:p w14:paraId="562B20F3" w14:textId="77777777" w:rsidR="002672EC" w:rsidRDefault="002672EC" w:rsidP="00DE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AFE1" w14:textId="77777777" w:rsidR="002672EC" w:rsidRDefault="002672EC" w:rsidP="00DE1285">
      <w:r>
        <w:separator/>
      </w:r>
    </w:p>
  </w:footnote>
  <w:footnote w:type="continuationSeparator" w:id="0">
    <w:p w14:paraId="528F2D30" w14:textId="77777777" w:rsidR="002672EC" w:rsidRDefault="002672EC" w:rsidP="00DE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B5"/>
    <w:multiLevelType w:val="hybridMultilevel"/>
    <w:tmpl w:val="556CA0F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DA178DD"/>
    <w:multiLevelType w:val="hybridMultilevel"/>
    <w:tmpl w:val="DB26D612"/>
    <w:lvl w:ilvl="0" w:tplc="18D881D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D1A1F54"/>
    <w:multiLevelType w:val="hybridMultilevel"/>
    <w:tmpl w:val="0C4E5DF6"/>
    <w:lvl w:ilvl="0" w:tplc="18D881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E87E77"/>
    <w:multiLevelType w:val="hybridMultilevel"/>
    <w:tmpl w:val="FE6E519A"/>
    <w:lvl w:ilvl="0" w:tplc="694E6AC2">
      <w:start w:val="1"/>
      <w:numFmt w:val="taiwaneseCountingThousand"/>
      <w:lvlText w:val="（%1）"/>
      <w:lvlJc w:val="left"/>
      <w:pPr>
        <w:ind w:left="806" w:hanging="8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210234"/>
    <w:multiLevelType w:val="hybridMultilevel"/>
    <w:tmpl w:val="669AA74C"/>
    <w:lvl w:ilvl="0" w:tplc="46163308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D52129"/>
    <w:multiLevelType w:val="hybridMultilevel"/>
    <w:tmpl w:val="A9188442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5DC078C"/>
    <w:multiLevelType w:val="hybridMultilevel"/>
    <w:tmpl w:val="6F3015B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9912ECB"/>
    <w:multiLevelType w:val="hybridMultilevel"/>
    <w:tmpl w:val="B87AC64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39E717FA"/>
    <w:multiLevelType w:val="hybridMultilevel"/>
    <w:tmpl w:val="3CEA6C4C"/>
    <w:lvl w:ilvl="0" w:tplc="18D881DE">
      <w:start w:val="1"/>
      <w:numFmt w:val="taiwaneseCountingThousand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18D881DE">
      <w:start w:val="1"/>
      <w:numFmt w:val="taiwaneseCountingThousand"/>
      <w:lvlText w:val="(%3)"/>
      <w:lvlJc w:val="left"/>
      <w:pPr>
        <w:ind w:left="248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43541FBC"/>
    <w:multiLevelType w:val="hybridMultilevel"/>
    <w:tmpl w:val="C874B352"/>
    <w:lvl w:ilvl="0" w:tplc="BD54EC58">
      <w:start w:val="1"/>
      <w:numFmt w:val="decimal"/>
      <w:lvlText w:val="%1."/>
      <w:lvlJc w:val="left"/>
      <w:pPr>
        <w:ind w:left="764" w:hanging="48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47929A5"/>
    <w:multiLevelType w:val="hybridMultilevel"/>
    <w:tmpl w:val="EBF0D880"/>
    <w:lvl w:ilvl="0" w:tplc="694E6AC2">
      <w:start w:val="1"/>
      <w:numFmt w:val="taiwaneseCountingThousand"/>
      <w:lvlText w:val="（%1）"/>
      <w:lvlJc w:val="left"/>
      <w:pPr>
        <w:ind w:left="806" w:hanging="8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0D518A"/>
    <w:multiLevelType w:val="hybridMultilevel"/>
    <w:tmpl w:val="67E42078"/>
    <w:lvl w:ilvl="0" w:tplc="18D881D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18D881DE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C3E780C"/>
    <w:multiLevelType w:val="hybridMultilevel"/>
    <w:tmpl w:val="A7B8BF40"/>
    <w:lvl w:ilvl="0" w:tplc="97F04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color w:val="000000" w:themeColor="text1"/>
        <w:sz w:val="28"/>
        <w:szCs w:val="28"/>
      </w:rPr>
    </w:lvl>
    <w:lvl w:ilvl="1" w:tplc="350C9258">
      <w:start w:val="1"/>
      <w:numFmt w:val="taiwaneseCountingThousand"/>
      <w:lvlText w:val="（%2）"/>
      <w:lvlJc w:val="left"/>
      <w:pPr>
        <w:ind w:left="1313" w:hanging="83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9B6A54"/>
    <w:multiLevelType w:val="hybridMultilevel"/>
    <w:tmpl w:val="5CDE080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C472256"/>
    <w:multiLevelType w:val="hybridMultilevel"/>
    <w:tmpl w:val="EC3AF656"/>
    <w:lvl w:ilvl="0" w:tplc="EF729746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8DE1E2A"/>
    <w:multiLevelType w:val="hybridMultilevel"/>
    <w:tmpl w:val="DB26D612"/>
    <w:lvl w:ilvl="0" w:tplc="18D881D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79C1294F"/>
    <w:multiLevelType w:val="hybridMultilevel"/>
    <w:tmpl w:val="6F3015B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741561391">
    <w:abstractNumId w:val="12"/>
  </w:num>
  <w:num w:numId="2" w16cid:durableId="74017638">
    <w:abstractNumId w:val="6"/>
  </w:num>
  <w:num w:numId="3" w16cid:durableId="1425611760">
    <w:abstractNumId w:val="16"/>
  </w:num>
  <w:num w:numId="4" w16cid:durableId="351347658">
    <w:abstractNumId w:val="10"/>
  </w:num>
  <w:num w:numId="5" w16cid:durableId="738484945">
    <w:abstractNumId w:val="3"/>
  </w:num>
  <w:num w:numId="6" w16cid:durableId="131141215">
    <w:abstractNumId w:val="4"/>
  </w:num>
  <w:num w:numId="7" w16cid:durableId="1913538041">
    <w:abstractNumId w:val="15"/>
  </w:num>
  <w:num w:numId="8" w16cid:durableId="267857954">
    <w:abstractNumId w:val="14"/>
  </w:num>
  <w:num w:numId="9" w16cid:durableId="1632440236">
    <w:abstractNumId w:val="13"/>
  </w:num>
  <w:num w:numId="10" w16cid:durableId="1844200946">
    <w:abstractNumId w:val="5"/>
  </w:num>
  <w:num w:numId="11" w16cid:durableId="300963641">
    <w:abstractNumId w:val="1"/>
  </w:num>
  <w:num w:numId="12" w16cid:durableId="250552015">
    <w:abstractNumId w:val="0"/>
  </w:num>
  <w:num w:numId="13" w16cid:durableId="482552365">
    <w:abstractNumId w:val="9"/>
  </w:num>
  <w:num w:numId="14" w16cid:durableId="1644890536">
    <w:abstractNumId w:val="11"/>
  </w:num>
  <w:num w:numId="15" w16cid:durableId="651100207">
    <w:abstractNumId w:val="2"/>
  </w:num>
  <w:num w:numId="16" w16cid:durableId="653752850">
    <w:abstractNumId w:val="8"/>
  </w:num>
  <w:num w:numId="17" w16cid:durableId="2107379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9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6C"/>
    <w:rsid w:val="00002921"/>
    <w:rsid w:val="00011A85"/>
    <w:rsid w:val="00023131"/>
    <w:rsid w:val="000335EC"/>
    <w:rsid w:val="00054949"/>
    <w:rsid w:val="00091A99"/>
    <w:rsid w:val="000B0F68"/>
    <w:rsid w:val="000B18A2"/>
    <w:rsid w:val="000B6A50"/>
    <w:rsid w:val="000E0AF6"/>
    <w:rsid w:val="000E5FD0"/>
    <w:rsid w:val="001006BA"/>
    <w:rsid w:val="0015639F"/>
    <w:rsid w:val="00160726"/>
    <w:rsid w:val="00190E1B"/>
    <w:rsid w:val="001A0B68"/>
    <w:rsid w:val="001A4415"/>
    <w:rsid w:val="001B3509"/>
    <w:rsid w:val="001D6D02"/>
    <w:rsid w:val="001E090E"/>
    <w:rsid w:val="001E7B06"/>
    <w:rsid w:val="00212750"/>
    <w:rsid w:val="00217FC2"/>
    <w:rsid w:val="002222DD"/>
    <w:rsid w:val="00224BF3"/>
    <w:rsid w:val="0025517B"/>
    <w:rsid w:val="002672EC"/>
    <w:rsid w:val="00290312"/>
    <w:rsid w:val="002C6822"/>
    <w:rsid w:val="002E0BC8"/>
    <w:rsid w:val="00327904"/>
    <w:rsid w:val="003749EB"/>
    <w:rsid w:val="0039077C"/>
    <w:rsid w:val="00390AEB"/>
    <w:rsid w:val="003A2B0D"/>
    <w:rsid w:val="003A4AB0"/>
    <w:rsid w:val="003D1681"/>
    <w:rsid w:val="003F4DB8"/>
    <w:rsid w:val="003F561C"/>
    <w:rsid w:val="004278E1"/>
    <w:rsid w:val="00427B7F"/>
    <w:rsid w:val="00431EC8"/>
    <w:rsid w:val="004521AD"/>
    <w:rsid w:val="00473E4C"/>
    <w:rsid w:val="004869EF"/>
    <w:rsid w:val="004A09E5"/>
    <w:rsid w:val="004A0CF5"/>
    <w:rsid w:val="004B09EC"/>
    <w:rsid w:val="004F4BE3"/>
    <w:rsid w:val="00500FB4"/>
    <w:rsid w:val="005134BE"/>
    <w:rsid w:val="0052229F"/>
    <w:rsid w:val="00525AFF"/>
    <w:rsid w:val="00542E2D"/>
    <w:rsid w:val="00552704"/>
    <w:rsid w:val="005549A6"/>
    <w:rsid w:val="00557E52"/>
    <w:rsid w:val="00580546"/>
    <w:rsid w:val="00580FC8"/>
    <w:rsid w:val="00583545"/>
    <w:rsid w:val="00587A08"/>
    <w:rsid w:val="005A646C"/>
    <w:rsid w:val="005B1BBA"/>
    <w:rsid w:val="005B3EE1"/>
    <w:rsid w:val="005C76BC"/>
    <w:rsid w:val="005D4DC6"/>
    <w:rsid w:val="005F5EB8"/>
    <w:rsid w:val="005F6F21"/>
    <w:rsid w:val="00611BE6"/>
    <w:rsid w:val="00641240"/>
    <w:rsid w:val="00647DD2"/>
    <w:rsid w:val="0066522C"/>
    <w:rsid w:val="006D61EC"/>
    <w:rsid w:val="006E23BD"/>
    <w:rsid w:val="006F31EB"/>
    <w:rsid w:val="006F452B"/>
    <w:rsid w:val="00702320"/>
    <w:rsid w:val="007038E6"/>
    <w:rsid w:val="0070467F"/>
    <w:rsid w:val="00732D2F"/>
    <w:rsid w:val="0074157D"/>
    <w:rsid w:val="007416B5"/>
    <w:rsid w:val="00741FDF"/>
    <w:rsid w:val="00756F7D"/>
    <w:rsid w:val="0077222A"/>
    <w:rsid w:val="007730BB"/>
    <w:rsid w:val="007F0D66"/>
    <w:rsid w:val="00802C0F"/>
    <w:rsid w:val="00806E76"/>
    <w:rsid w:val="00813C92"/>
    <w:rsid w:val="00813D80"/>
    <w:rsid w:val="0083048B"/>
    <w:rsid w:val="00831A6D"/>
    <w:rsid w:val="008347CB"/>
    <w:rsid w:val="008513CF"/>
    <w:rsid w:val="00853062"/>
    <w:rsid w:val="00866B12"/>
    <w:rsid w:val="00876791"/>
    <w:rsid w:val="008B0A0E"/>
    <w:rsid w:val="008B3054"/>
    <w:rsid w:val="008B4DD2"/>
    <w:rsid w:val="008B52B3"/>
    <w:rsid w:val="008C10F3"/>
    <w:rsid w:val="008C69DD"/>
    <w:rsid w:val="008D5F7A"/>
    <w:rsid w:val="008D617A"/>
    <w:rsid w:val="008E5659"/>
    <w:rsid w:val="008E5F6C"/>
    <w:rsid w:val="008F0A90"/>
    <w:rsid w:val="008F50D2"/>
    <w:rsid w:val="00901A57"/>
    <w:rsid w:val="00925A12"/>
    <w:rsid w:val="009927F3"/>
    <w:rsid w:val="009929E8"/>
    <w:rsid w:val="009978B1"/>
    <w:rsid w:val="00997EEC"/>
    <w:rsid w:val="009B18B7"/>
    <w:rsid w:val="009B5656"/>
    <w:rsid w:val="009C0503"/>
    <w:rsid w:val="009C4EEE"/>
    <w:rsid w:val="009C6062"/>
    <w:rsid w:val="009E0016"/>
    <w:rsid w:val="009F2AB2"/>
    <w:rsid w:val="009F2E40"/>
    <w:rsid w:val="00A075A9"/>
    <w:rsid w:val="00A63BAA"/>
    <w:rsid w:val="00A970DE"/>
    <w:rsid w:val="00AA0DC9"/>
    <w:rsid w:val="00AA68EA"/>
    <w:rsid w:val="00AA7FE8"/>
    <w:rsid w:val="00AC0104"/>
    <w:rsid w:val="00AC6A94"/>
    <w:rsid w:val="00AD0964"/>
    <w:rsid w:val="00AD3977"/>
    <w:rsid w:val="00B02479"/>
    <w:rsid w:val="00B21117"/>
    <w:rsid w:val="00B212C3"/>
    <w:rsid w:val="00B21473"/>
    <w:rsid w:val="00B3430C"/>
    <w:rsid w:val="00B46C89"/>
    <w:rsid w:val="00B71CEE"/>
    <w:rsid w:val="00B75EA5"/>
    <w:rsid w:val="00B87844"/>
    <w:rsid w:val="00B97F8E"/>
    <w:rsid w:val="00BA2D75"/>
    <w:rsid w:val="00BB01F1"/>
    <w:rsid w:val="00BB0936"/>
    <w:rsid w:val="00BC6A53"/>
    <w:rsid w:val="00BD12A5"/>
    <w:rsid w:val="00C1394A"/>
    <w:rsid w:val="00C16B42"/>
    <w:rsid w:val="00C3767D"/>
    <w:rsid w:val="00C8007E"/>
    <w:rsid w:val="00C978E0"/>
    <w:rsid w:val="00CA6EDA"/>
    <w:rsid w:val="00CB4F64"/>
    <w:rsid w:val="00CC4219"/>
    <w:rsid w:val="00D13CBE"/>
    <w:rsid w:val="00D63718"/>
    <w:rsid w:val="00D715DB"/>
    <w:rsid w:val="00D81F1C"/>
    <w:rsid w:val="00DA277E"/>
    <w:rsid w:val="00DC1646"/>
    <w:rsid w:val="00DC7FFC"/>
    <w:rsid w:val="00DD54E0"/>
    <w:rsid w:val="00DE1285"/>
    <w:rsid w:val="00DE4E4F"/>
    <w:rsid w:val="00DE7259"/>
    <w:rsid w:val="00E12B83"/>
    <w:rsid w:val="00E2619A"/>
    <w:rsid w:val="00E37F50"/>
    <w:rsid w:val="00E41231"/>
    <w:rsid w:val="00E5439C"/>
    <w:rsid w:val="00E61425"/>
    <w:rsid w:val="00E70A78"/>
    <w:rsid w:val="00E808A6"/>
    <w:rsid w:val="00E86951"/>
    <w:rsid w:val="00E944E4"/>
    <w:rsid w:val="00E95474"/>
    <w:rsid w:val="00EA4742"/>
    <w:rsid w:val="00EA48E9"/>
    <w:rsid w:val="00EA600A"/>
    <w:rsid w:val="00EA7831"/>
    <w:rsid w:val="00EB0188"/>
    <w:rsid w:val="00EB386A"/>
    <w:rsid w:val="00EC46DB"/>
    <w:rsid w:val="00EE61D6"/>
    <w:rsid w:val="00F11ECD"/>
    <w:rsid w:val="00F223F8"/>
    <w:rsid w:val="00F42031"/>
    <w:rsid w:val="00F53E99"/>
    <w:rsid w:val="00F60889"/>
    <w:rsid w:val="00F64C52"/>
    <w:rsid w:val="00F7095D"/>
    <w:rsid w:val="00F715FB"/>
    <w:rsid w:val="00F7602E"/>
    <w:rsid w:val="00F85A20"/>
    <w:rsid w:val="00FA5D41"/>
    <w:rsid w:val="00FC52DB"/>
    <w:rsid w:val="00FD1032"/>
    <w:rsid w:val="00FD2A77"/>
    <w:rsid w:val="00FD7250"/>
    <w:rsid w:val="00FE5AA8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6F6B2"/>
  <w15:docId w15:val="{DE3B00D9-0686-4CD6-A018-0CD0A951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BE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paragraph" w:styleId="1">
    <w:name w:val="heading 1"/>
    <w:basedOn w:val="a"/>
    <w:next w:val="a"/>
    <w:link w:val="10"/>
    <w:uiPriority w:val="1"/>
    <w:qFormat/>
    <w:rsid w:val="00500FB4"/>
    <w:pPr>
      <w:autoSpaceDE w:val="0"/>
      <w:autoSpaceDN w:val="0"/>
      <w:adjustRightInd w:val="0"/>
      <w:outlineLvl w:val="0"/>
    </w:pPr>
    <w:rPr>
      <w:rFonts w:ascii="標楷體" w:eastAsia="標楷體" w:cs="標楷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2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E12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2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E12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9547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80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007E"/>
  </w:style>
  <w:style w:type="character" w:customStyle="1" w:styleId="aa">
    <w:name w:val="註解文字 字元"/>
    <w:basedOn w:val="a0"/>
    <w:link w:val="a9"/>
    <w:uiPriority w:val="99"/>
    <w:semiHidden/>
    <w:rsid w:val="00C8007E"/>
    <w:rPr>
      <w:rFonts w:ascii="Times New Roman" w:eastAsia="新細明體" w:hAnsi="Times New Roman" w:cs="Times New Roman"/>
      <w:sz w:val="18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0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8007E"/>
    <w:rPr>
      <w:rFonts w:ascii="Times New Roman" w:eastAsia="新細明體" w:hAnsi="Times New Roman" w:cs="Times New Roman"/>
      <w:b/>
      <w:bCs/>
      <w:sz w:val="1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8007E"/>
    <w:rPr>
      <w:rFonts w:asciiTheme="majorHAnsi" w:eastAsiaTheme="majorEastAsia" w:hAnsiTheme="majorHAnsi" w:cstheme="majorBid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500FB4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500FB4"/>
    <w:pPr>
      <w:autoSpaceDE w:val="0"/>
      <w:autoSpaceDN w:val="0"/>
      <w:adjustRightInd w:val="0"/>
      <w:ind w:left="2021"/>
    </w:pPr>
    <w:rPr>
      <w:rFonts w:ascii="標楷體" w:eastAsia="標楷體" w:cs="標楷體"/>
      <w:kern w:val="0"/>
      <w:sz w:val="28"/>
      <w:szCs w:val="28"/>
    </w:rPr>
  </w:style>
  <w:style w:type="character" w:customStyle="1" w:styleId="af0">
    <w:name w:val="本文 字元"/>
    <w:basedOn w:val="a0"/>
    <w:link w:val="af"/>
    <w:uiPriority w:val="1"/>
    <w:rsid w:val="00500FB4"/>
    <w:rPr>
      <w:rFonts w:ascii="標楷體" w:eastAsia="標楷體" w:hAnsi="Times New Roman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18A2-399C-4FA6-A2C2-6BCDAAB2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superuser</cp:lastModifiedBy>
  <cp:revision>2</cp:revision>
  <cp:lastPrinted>2021-11-26T04:28:00Z</cp:lastPrinted>
  <dcterms:created xsi:type="dcterms:W3CDTF">2024-03-22T01:56:00Z</dcterms:created>
  <dcterms:modified xsi:type="dcterms:W3CDTF">2024-03-22T01:56:00Z</dcterms:modified>
</cp:coreProperties>
</file>